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40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="00084EDA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 xml:space="preserve">            </w:t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noProof/>
          <w:spacing w:val="20"/>
          <w:kern w:val="1"/>
          <w:sz w:val="40"/>
          <w:szCs w:val="24"/>
          <w:lang w:eastAsia="ru-RU"/>
        </w:rPr>
        <w:drawing>
          <wp:inline distT="0" distB="0" distL="0" distR="0">
            <wp:extent cx="45720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="00084EDA" w:rsidRPr="001931CA">
        <w:rPr>
          <w:rFonts w:ascii="Times New Roman" w:eastAsia="Bitstream Vera Sans" w:hAnsi="Times New Roman" w:cs="Times New Roman"/>
          <w:spacing w:val="20"/>
          <w:kern w:val="1"/>
          <w:sz w:val="40"/>
          <w:szCs w:val="24"/>
          <w:lang w:eastAsia="hi-IN" w:bidi="hi-IN"/>
        </w:rPr>
        <w:t>ПРОЕКТ</w:t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 xml:space="preserve"> </w:t>
      </w:r>
    </w:p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  <w:bookmarkStart w:id="0" w:name="_GoBack"/>
      <w:bookmarkEnd w:id="0"/>
    </w:p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«Светогорское городское </w:t>
      </w:r>
      <w:proofErr w:type="gramStart"/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A25942" w:rsidRPr="00A25942" w:rsidRDefault="00A25942" w:rsidP="00A25942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A25942" w:rsidRPr="00A25942" w:rsidTr="00ED5005">
        <w:tc>
          <w:tcPr>
            <w:tcW w:w="567" w:type="dxa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667" w:type="dxa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  <w:tr w:rsidR="00A25942" w:rsidRPr="00A25942" w:rsidTr="00ED5005">
        <w:tc>
          <w:tcPr>
            <w:tcW w:w="9078" w:type="dxa"/>
            <w:gridSpan w:val="4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A25942" w:rsidRPr="00A25942" w:rsidTr="00ED5005">
        <w:tc>
          <w:tcPr>
            <w:tcW w:w="9078" w:type="dxa"/>
            <w:gridSpan w:val="4"/>
            <w:hideMark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5942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администрации МО «Светогорское городское поселение» от 28.10.2013 №327 «Об утверждении муниципальной программы «Развитие и поддержка малого и среднего предпринимательства в МО «Светогорское городское поселение»</w:t>
            </w:r>
          </w:p>
        </w:tc>
      </w:tr>
    </w:tbl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25942">
        <w:rPr>
          <w:rFonts w:ascii="Times New Roman" w:eastAsia="Bitstream Vera Sans" w:hAnsi="Times New Roman" w:cs="Times New Roman"/>
          <w:color w:val="000000"/>
          <w:kern w:val="1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A25942">
        <w:rPr>
          <w:rFonts w:ascii="Liberation Serif" w:eastAsia="Bitstream Vera Sans" w:hAnsi="Liberation Serif" w:cs="FreeSans"/>
          <w:kern w:val="1"/>
          <w:sz w:val="24"/>
          <w:szCs w:val="24"/>
          <w:lang w:eastAsia="hi-IN" w:bidi="hi-IN"/>
        </w:rPr>
        <w:t xml:space="preserve"> </w:t>
      </w:r>
      <w:r w:rsidRPr="00A25942">
        <w:rPr>
          <w:rFonts w:ascii="Times New Roman" w:eastAsia="Bitstream Vera Sans" w:hAnsi="Times New Roman" w:cs="Times New Roman"/>
          <w:color w:val="000000"/>
          <w:kern w:val="1"/>
          <w:lang w:eastAsia="hi-IN" w:bidi="hi-IN"/>
        </w:rPr>
        <w:t>ред. постановлений от 30.09.2013 №265, от 15.10.2015 №384)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, администрация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  <w:t>МО «Светогорское городское поселение»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1. Внести в постановление администрации МО «Светогорское городское поселение» от 28.10.2013 №327 «Об утверждении муниципальной программы «Развитие и поддержка малого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  <w:t>и среднего предпринимательства в МО «Светогорское городское поселение» (в ред. постановлений от 14.05.2014 №156, от 05.09.2014 №290, от 14.11.2014 №389, от 10.03.2015 №61,</w:t>
      </w:r>
      <w:r w:rsidRPr="00A25942">
        <w:rPr>
          <w:rFonts w:ascii="Liberation Serif" w:eastAsia="Bitstream Vera Sans" w:hAnsi="Liberation Serif" w:cs="FreeSans"/>
          <w:kern w:val="1"/>
          <w:sz w:val="24"/>
          <w:szCs w:val="24"/>
          <w:lang w:eastAsia="hi-IN" w:bidi="hi-IN"/>
        </w:rPr>
        <w:t xml:space="preserve">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от 08.02.2016 №56, от 18.01.2017 №40, от 04.10.2017 № 503, от 12.02.2018 №76) следующие изменения: 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1.1. В паспорте муниципальной программы «Развитие и поддержка малого и среднего предпринимательства в МО «Светогорское городское поселение» (далее – Программа) в пункте «Целевые индикаторы и показатели муниципальной Программы» добавить следующие позиции: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-   количество проведенных мероприятий, в том числе международных (семинаров, ярмарок, конкурсов и т.д.);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- количество выпущенных информационно-методических материалов по актуальным вопросам ведения бизнеса;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1.2.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 читать в следующей редакции: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Для оценки реализации Программы используются 5 показателей (индикатора), характеризующих достижение цели, результаты решения задач и выполнения основных мероприятий.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35"/>
        <w:gridCol w:w="703"/>
        <w:gridCol w:w="1266"/>
        <w:gridCol w:w="562"/>
        <w:gridCol w:w="562"/>
        <w:gridCol w:w="562"/>
        <w:gridCol w:w="562"/>
        <w:gridCol w:w="562"/>
        <w:gridCol w:w="562"/>
        <w:gridCol w:w="562"/>
        <w:gridCol w:w="669"/>
        <w:gridCol w:w="10"/>
      </w:tblGrid>
      <w:tr w:rsidR="00A25942" w:rsidRPr="00A25942" w:rsidTr="006A03C9">
        <w:trPr>
          <w:gridAfter w:val="1"/>
          <w:wAfter w:w="10" w:type="dxa"/>
          <w:trHeight w:val="12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Показатель (индикатор) (наименование)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Базовое значение на начало реализации Программы, </w:t>
            </w: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6A03C9">
            <w:pPr>
              <w:autoSpaceDE w:val="0"/>
              <w:autoSpaceDN w:val="0"/>
              <w:adjustRightInd w:val="0"/>
              <w:spacing w:after="0" w:line="240" w:lineRule="auto"/>
              <w:ind w:left="-221" w:firstLine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Целевое значение показателя на момент окончания </w:t>
            </w: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действия Программы</w:t>
            </w:r>
          </w:p>
        </w:tc>
      </w:tr>
      <w:tr w:rsidR="00A25942" w:rsidRPr="00A25942" w:rsidTr="006A03C9">
        <w:trPr>
          <w:trHeight w:val="208"/>
        </w:trPr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Значения показателей</w:t>
            </w:r>
          </w:p>
        </w:tc>
      </w:tr>
      <w:tr w:rsidR="00A25942" w:rsidRPr="00A25942" w:rsidTr="006A03C9">
        <w:trPr>
          <w:gridAfter w:val="1"/>
          <w:wAfter w:w="10" w:type="dxa"/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оборота малых и средних предприятий</w:t>
            </w: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2264884,07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25942" w:rsidRPr="00A25942" w:rsidTr="006A03C9">
        <w:trPr>
          <w:gridAfter w:val="1"/>
          <w:wAfter w:w="10" w:type="dxa"/>
          <w:trHeight w:val="6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среднесписочной численности работников малых и средних предприятий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25942" w:rsidRPr="00A25942" w:rsidTr="006A03C9">
        <w:trPr>
          <w:gridAfter w:val="1"/>
          <w:wAfter w:w="10" w:type="dxa"/>
          <w:trHeight w:val="13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доходов и повышение уровня социальной защищенности работников малых и средних предприятий</w:t>
            </w: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17195,00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25942" w:rsidRPr="00A25942" w:rsidTr="006A03C9">
        <w:trPr>
          <w:gridAfter w:val="1"/>
          <w:wAfter w:w="10" w:type="dxa"/>
          <w:trHeight w:val="7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проведенных мероприятий (семинаров, совещаний, «круглых столов» по вопросам предпринимательской деятельности)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25942" w:rsidRPr="00A25942" w:rsidTr="006A03C9">
        <w:trPr>
          <w:gridAfter w:val="1"/>
          <w:wAfter w:w="10" w:type="dxa"/>
          <w:trHeight w:val="8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6D1764" w:rsidP="00A2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D17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оличество выпущенных информационно-методических материалов по актуальным вопросам ведения бизнеса;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</w:tbl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2. Настоящее постановление вступает в силу после официального опубликования.</w:t>
      </w:r>
    </w:p>
    <w:p w:rsidR="00A25942" w:rsidRPr="00A25942" w:rsidRDefault="00A25942" w:rsidP="00A25942">
      <w:pPr>
        <w:widowControl w:val="0"/>
        <w:tabs>
          <w:tab w:val="left" w:pos="1168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3. Опубликовать настоящее постановление в газете «Вуокса» и разместить на официальном сайте МО «Светогорское городское поселение»</w:t>
      </w:r>
      <w:r w:rsidRPr="00A259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5" w:history="1"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mo</w:t>
        </w:r>
        <w:proofErr w:type="spellEnd"/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proofErr w:type="spellStart"/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svetogorsk</w:t>
        </w:r>
        <w:proofErr w:type="spellEnd"/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A259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A259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«Документы/Нормативные правовые акты».</w:t>
      </w:r>
      <w:r w:rsidRPr="00A25942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4. Контроль за исполнением настоящего постановления оставляю за собой.</w:t>
      </w:r>
    </w:p>
    <w:p w:rsidR="00A25942" w:rsidRPr="00A25942" w:rsidRDefault="00A25942" w:rsidP="00A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942" w:rsidRPr="00A25942" w:rsidRDefault="00A25942" w:rsidP="00A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Давыдов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C45126" w:rsidRDefault="00C45126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C45126" w:rsidRDefault="00C45126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P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Н.Л. Захарова 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rPr>
          <w:rFonts w:ascii="Liberation Serif" w:eastAsia="Bitstream Vera Sans" w:hAnsi="Liberation Serif" w:cs="Liberation Serif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Согласовано: А.А. Ренжин 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Н.В. Ковшарь 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И.А. Лаврова </w:t>
      </w:r>
    </w:p>
    <w:p w:rsidR="00A25942" w:rsidRDefault="00A25942" w:rsidP="00A25942">
      <w:pPr>
        <w:widowControl w:val="0"/>
        <w:suppressAutoHyphens/>
        <w:spacing w:after="0" w:line="240" w:lineRule="exact"/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Разослано: в дело, ФС, СЭР, СБУ, МП МО Пресс-центр «Вуокса», регистр МНПА.</w:t>
      </w:r>
    </w:p>
    <w:p w:rsidR="00A25942" w:rsidRDefault="00A25942"/>
    <w:sectPr w:rsidR="00A25942" w:rsidSect="00A2594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2D"/>
    <w:rsid w:val="00084EDA"/>
    <w:rsid w:val="001931CA"/>
    <w:rsid w:val="006A03C9"/>
    <w:rsid w:val="006D1764"/>
    <w:rsid w:val="00760316"/>
    <w:rsid w:val="00A25942"/>
    <w:rsid w:val="00C4002D"/>
    <w:rsid w:val="00C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8AA8-0F08-4B36-8E0D-464C371C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59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Наталья Л. Захарова</cp:lastModifiedBy>
  <cp:revision>10</cp:revision>
  <dcterms:created xsi:type="dcterms:W3CDTF">2018-08-28T12:08:00Z</dcterms:created>
  <dcterms:modified xsi:type="dcterms:W3CDTF">2018-08-30T07:32:00Z</dcterms:modified>
</cp:coreProperties>
</file>