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0A197C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17.08.2021 г.</w:t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оплате труда работников органов местного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муниципального образования 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 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области,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должности, не являющиеся</w:t>
      </w:r>
    </w:p>
    <w:p w:rsidR="00C86447" w:rsidRDefault="00C86447" w:rsidP="00C86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должностями муниципальной службы»</w:t>
      </w:r>
    </w:p>
    <w:p w:rsidR="00C86447" w:rsidRPr="003A5C75" w:rsidRDefault="00C86447" w:rsidP="00C86447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2003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 областным законом от 11 марта 2008 года № 14-оз «О правовом регулировании муниципальной службы в Ленинградской области»</w:t>
      </w:r>
      <w:r w:rsidRPr="003A5C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области, </w:t>
      </w:r>
      <w:bookmarkStart w:id="0" w:name="OLE_LINK41"/>
      <w:bookmarkStart w:id="1" w:name="OLE_LINK42"/>
      <w:r w:rsidR="00227B65">
        <w:rPr>
          <w:rFonts w:ascii="Times New Roman" w:hAnsi="Times New Roman" w:cs="Times New Roman"/>
          <w:sz w:val="28"/>
          <w:szCs w:val="28"/>
        </w:rPr>
        <w:t>р</w:t>
      </w:r>
      <w:bookmarkStart w:id="2" w:name="_GoBack"/>
      <w:bookmarkEnd w:id="2"/>
      <w:r w:rsidR="00956D31" w:rsidRPr="00C01ADD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8A30C8" w:rsidRPr="00C01ADD">
        <w:rPr>
          <w:rFonts w:ascii="Times New Roman" w:hAnsi="Times New Roman" w:cs="Times New Roman"/>
          <w:sz w:val="28"/>
          <w:szCs w:val="28"/>
        </w:rPr>
        <w:t xml:space="preserve">от </w:t>
      </w:r>
      <w:r w:rsidR="00CE7A82" w:rsidRPr="00C01ADD">
        <w:rPr>
          <w:rFonts w:ascii="Times New Roman" w:hAnsi="Times New Roman" w:cs="Times New Roman"/>
          <w:sz w:val="28"/>
          <w:szCs w:val="28"/>
        </w:rPr>
        <w:t>08.12.2020 №40 О бюджете муниципального образования   «</w:t>
      </w:r>
      <w:proofErr w:type="spellStart"/>
      <w:r w:rsidR="00CE7A82" w:rsidRPr="00C01ADD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CE7A82" w:rsidRPr="00C01ADD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на 2021 год и на плановый период 2022 и 2023 годов</w:t>
      </w:r>
      <w:r w:rsidRPr="00C01ADD">
        <w:rPr>
          <w:rFonts w:ascii="Times New Roman" w:hAnsi="Times New Roman" w:cs="Times New Roman"/>
          <w:sz w:val="28"/>
          <w:szCs w:val="28"/>
        </w:rPr>
        <w:t>»,</w:t>
      </w:r>
      <w:bookmarkEnd w:id="0"/>
      <w:bookmarkEnd w:id="1"/>
      <w:r w:rsidRPr="00C01ADD">
        <w:rPr>
          <w:rFonts w:ascii="Times New Roman" w:hAnsi="Times New Roman" w:cs="Times New Roman"/>
          <w:sz w:val="28"/>
          <w:szCs w:val="28"/>
        </w:rPr>
        <w:t xml:space="preserve"> </w:t>
      </w:r>
      <w:r w:rsidRPr="00956D31">
        <w:rPr>
          <w:rFonts w:ascii="Times New Roman" w:hAnsi="Times New Roman" w:cs="Times New Roman"/>
          <w:sz w:val="28"/>
          <w:szCs w:val="28"/>
        </w:rPr>
        <w:t>в целях регулирования вопросов оплаты труда работников, замещающих должности, не являющиеся должностями муниципальной службы в органах местного самоуправления муниципального образования «</w:t>
      </w:r>
      <w:proofErr w:type="spellStart"/>
      <w:r w:rsidRPr="00956D31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956D31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86447" w:rsidRPr="00AE3EB1" w:rsidRDefault="00C86447" w:rsidP="00C86447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AE3EB1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AE5B31" w:rsidRPr="00C01ADD" w:rsidRDefault="00C86447" w:rsidP="00A63A3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C75">
        <w:rPr>
          <w:rFonts w:ascii="Times New Roman" w:hAnsi="Times New Roman" w:cs="Times New Roman"/>
          <w:sz w:val="28"/>
          <w:szCs w:val="28"/>
        </w:rPr>
        <w:t>1. Внести в Положение 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работников органов местного самоуправления </w:t>
      </w:r>
      <w:r w:rsidRPr="003A5C7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A5C7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 w:rsidRPr="00AE5B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5B31" w:rsidRPr="00AE5B31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AE5B31" w:rsidRPr="00AE5B31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</w:t>
      </w:r>
      <w:r w:rsidRPr="00AE5B31">
        <w:rPr>
          <w:rFonts w:ascii="Times New Roman" w:hAnsi="Times New Roman" w:cs="Times New Roman"/>
          <w:sz w:val="28"/>
          <w:szCs w:val="28"/>
        </w:rPr>
        <w:t xml:space="preserve"> Ленингр</w:t>
      </w:r>
      <w:r w:rsidRPr="003A5C75">
        <w:rPr>
          <w:rFonts w:ascii="Times New Roman" w:hAnsi="Times New Roman" w:cs="Times New Roman"/>
          <w:sz w:val="28"/>
          <w:szCs w:val="28"/>
        </w:rPr>
        <w:t>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замещающих должности, не являющиеся должностями муниципальной службы,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OLE_LINK38"/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решением совета депутатов МО «</w:t>
      </w:r>
      <w:proofErr w:type="spellStart"/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от 22.12.2009 № 29 (с изменениями от 17.04.2012 № 11, от </w:t>
      </w:r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09.09.2014  № 38, от 24.10.2016 № 42, </w:t>
      </w:r>
      <w:bookmarkStart w:id="4" w:name="OLE_LINK48"/>
      <w:bookmarkStart w:id="5" w:name="OLE_LINK49"/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14.02.2017  № 4</w:t>
      </w:r>
      <w:bookmarkEnd w:id="3"/>
      <w:r w:rsidR="00AE5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 № 16, от 25.02.2018 № 48, от 23.04.2019  № 15</w:t>
      </w:r>
      <w:r w:rsidR="00E9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0B03" w:rsidRPr="00C01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25.12.2019 № 31</w:t>
      </w:r>
      <w:r w:rsidR="00AE5B31" w:rsidRPr="00C0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bookmarkEnd w:id="4"/>
      <w:bookmarkEnd w:id="5"/>
      <w:r w:rsidR="00AE5B31" w:rsidRPr="00C0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C86447" w:rsidRPr="00933EE6" w:rsidRDefault="002147E7" w:rsidP="005E5399">
      <w:pPr>
        <w:pStyle w:val="ConsTitle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EE6">
        <w:rPr>
          <w:rFonts w:ascii="Times New Roman" w:hAnsi="Times New Roman" w:cs="Times New Roman"/>
          <w:b w:val="0"/>
          <w:sz w:val="28"/>
          <w:szCs w:val="28"/>
        </w:rPr>
        <w:t xml:space="preserve">пункт 12 </w:t>
      </w:r>
      <w:r w:rsidR="005E5399" w:rsidRPr="00933EE6">
        <w:rPr>
          <w:rFonts w:ascii="Times New Roman" w:hAnsi="Times New Roman" w:cs="Times New Roman"/>
          <w:b w:val="0"/>
          <w:sz w:val="28"/>
          <w:szCs w:val="28"/>
        </w:rPr>
        <w:t xml:space="preserve">статьи 3 </w:t>
      </w:r>
      <w:r w:rsidR="001D0D3F" w:rsidRPr="00933EE6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1D0D3F" w:rsidRPr="00933EE6" w:rsidRDefault="001D0D3F" w:rsidP="001D0D3F">
      <w:pPr>
        <w:widowControl w:val="0"/>
        <w:shd w:val="clear" w:color="auto" w:fill="FFFFFF"/>
        <w:tabs>
          <w:tab w:val="left" w:pos="245"/>
          <w:tab w:val="left" w:pos="1080"/>
        </w:tabs>
        <w:autoSpaceDE w:val="0"/>
        <w:autoSpaceDN w:val="0"/>
        <w:adjustRightInd w:val="0"/>
        <w:spacing w:before="269" w:after="0" w:line="278" w:lineRule="exact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E6">
        <w:rPr>
          <w:rFonts w:ascii="Times New Roman" w:hAnsi="Times New Roman" w:cs="Times New Roman"/>
          <w:sz w:val="28"/>
          <w:szCs w:val="28"/>
        </w:rPr>
        <w:t>«12. Выплаты надбавок, ежемесячных денежных поощрений, премий,  материальной помощи, а также иных выплат  производятся в пределах установленного фонда оплаты труда работников одновременно с выплатой заработной платы за вторую половину месяца, единовременных выплат при предоставлении ежегодного оплачиваемого отпуска - одновременно с выплатой отпускных на основании правового акта главы администрации МО "</w:t>
      </w:r>
      <w:proofErr w:type="spellStart"/>
      <w:r w:rsidRPr="00933EE6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933EE6">
        <w:rPr>
          <w:rFonts w:ascii="Times New Roman" w:hAnsi="Times New Roman" w:cs="Times New Roman"/>
          <w:sz w:val="28"/>
          <w:szCs w:val="28"/>
        </w:rPr>
        <w:t xml:space="preserve"> городское поселение", руководителя иного органа местного самоуправления МО "</w:t>
      </w:r>
      <w:proofErr w:type="spellStart"/>
      <w:r w:rsidRPr="00933EE6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933EE6">
        <w:rPr>
          <w:rFonts w:ascii="Times New Roman" w:hAnsi="Times New Roman" w:cs="Times New Roman"/>
          <w:sz w:val="28"/>
          <w:szCs w:val="28"/>
        </w:rPr>
        <w:t xml:space="preserve"> городское поселение", руководителя структурного подразделения администрации МО "</w:t>
      </w:r>
      <w:proofErr w:type="spellStart"/>
      <w:r w:rsidRPr="00933EE6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933EE6">
        <w:rPr>
          <w:rFonts w:ascii="Times New Roman" w:hAnsi="Times New Roman" w:cs="Times New Roman"/>
          <w:sz w:val="28"/>
          <w:szCs w:val="28"/>
        </w:rPr>
        <w:t xml:space="preserve"> городское поселение", являющегося юридическим лицом.»</w:t>
      </w:r>
    </w:p>
    <w:p w:rsidR="00AE5B31" w:rsidRPr="00933EE6" w:rsidRDefault="00C86447" w:rsidP="005E53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E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«</w:t>
      </w:r>
      <w:bookmarkStart w:id="6" w:name="OLE_LINK35"/>
      <w:bookmarkStart w:id="7" w:name="OLE_LINK36"/>
      <w:bookmarkStart w:id="8" w:name="OLE_LINK10"/>
      <w:bookmarkEnd w:id="6"/>
      <w:proofErr w:type="gramEnd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 органов местного самоуправления муниципального образования "</w:t>
      </w:r>
      <w:proofErr w:type="spellStart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"Выборгского района Ленинградской области, замещающих должности, не являющиеся должностями муниципальной службы</w:t>
      </w:r>
      <w:bookmarkEnd w:id="7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8"/>
      <w:r w:rsidR="00AE5B31" w:rsidRPr="00933E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(Приложение).</w:t>
      </w:r>
    </w:p>
    <w:p w:rsidR="00AE5B31" w:rsidRPr="00933EE6" w:rsidRDefault="00C86447" w:rsidP="005E5399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E6">
        <w:rPr>
          <w:rFonts w:ascii="Times New Roman" w:hAnsi="Times New Roman" w:cs="Times New Roman"/>
          <w:sz w:val="28"/>
          <w:szCs w:val="28"/>
        </w:rPr>
        <w:t xml:space="preserve">2. </w:t>
      </w:r>
      <w:r w:rsidR="00AE5B31" w:rsidRPr="00933EE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AE5B31" w:rsidRPr="00933EE6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AE5B31" w:rsidRPr="00933EE6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AE5B31" w:rsidRPr="00933EE6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AE5B31" w:rsidRPr="00933EE6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AE5B31" w:rsidRPr="00933EE6"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  <w:t>npavrlo.ru</w:t>
      </w:r>
      <w:r w:rsidR="00AE5B31" w:rsidRPr="00933EE6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="00AE5B31" w:rsidRPr="00933EE6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AE5B31" w:rsidRPr="00933EE6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8" w:history="1">
        <w:r w:rsidR="00AE5B31" w:rsidRPr="00933EE6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mo-svetogorsk.ru</w:t>
        </w:r>
      </w:hyperlink>
      <w:r w:rsidR="00AE5B31" w:rsidRPr="00933EE6">
        <w:rPr>
          <w:rFonts w:ascii="Times New Roman" w:hAnsi="Times New Roman" w:cs="Times New Roman"/>
          <w:sz w:val="28"/>
          <w:szCs w:val="28"/>
        </w:rPr>
        <w:t>).</w:t>
      </w:r>
    </w:p>
    <w:p w:rsidR="00C86447" w:rsidRPr="00933EE6" w:rsidRDefault="00C86447" w:rsidP="009B386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3EE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33E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вступает в силу </w:t>
      </w:r>
      <w:r w:rsidRPr="00933EE6">
        <w:rPr>
          <w:rFonts w:ascii="Times New Roman" w:hAnsi="Times New Roman" w:cs="Times New Roman"/>
          <w:b w:val="0"/>
          <w:sz w:val="28"/>
          <w:szCs w:val="28"/>
        </w:rPr>
        <w:t>с 1 сентября 2021 года.</w:t>
      </w: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C51405" w:rsidRPr="00C51405" w:rsidRDefault="000A197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51405">
        <w:rPr>
          <w:rFonts w:ascii="Times New Roman" w:hAnsi="Times New Roman" w:cs="Times New Roman"/>
          <w:sz w:val="20"/>
          <w:szCs w:val="20"/>
        </w:rPr>
        <w:t>Разослано: дело, администрация, Официальный вестник, официальный сайт, прокуратура, газета «</w:t>
      </w:r>
      <w:proofErr w:type="spellStart"/>
      <w:r w:rsidRPr="00C51405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</w:p>
    <w:p w:rsidR="009B3867" w:rsidRDefault="009B3867" w:rsidP="00C5140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DD" w:rsidRDefault="00C01A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B3867" w:rsidRDefault="009B3867" w:rsidP="00C5140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491" w:rsidRPr="00C51405" w:rsidRDefault="00B73491" w:rsidP="00C51405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73491" w:rsidRDefault="00B73491" w:rsidP="00B73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решения совета депутатов </w:t>
      </w:r>
    </w:p>
    <w:p w:rsidR="00B73491" w:rsidRDefault="00B73491" w:rsidP="00B73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</w:t>
      </w:r>
    </w:p>
    <w:p w:rsidR="00B73491" w:rsidRDefault="00B73491" w:rsidP="00B73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17.08.2021 года № ___</w:t>
      </w:r>
    </w:p>
    <w:p w:rsidR="00B73491" w:rsidRDefault="00B73491" w:rsidP="00B73491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B73491" w:rsidRDefault="00B73491" w:rsidP="00B73491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B73491" w:rsidRDefault="00B73491" w:rsidP="00B73491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br/>
        <w:t xml:space="preserve">«Об оплате труда работников органов </w:t>
      </w:r>
      <w:r>
        <w:rPr>
          <w:rFonts w:ascii="Times New Roman" w:hAnsi="Times New Roman"/>
          <w:sz w:val="24"/>
          <w:szCs w:val="24"/>
        </w:rPr>
        <w:br/>
        <w:t>местного самоуправления муниципального образования</w:t>
      </w:r>
      <w:r>
        <w:rPr>
          <w:rFonts w:ascii="Times New Roman" w:hAnsi="Times New Roman"/>
          <w:sz w:val="24"/>
          <w:szCs w:val="24"/>
        </w:rPr>
        <w:br/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поселение" </w:t>
      </w:r>
    </w:p>
    <w:p w:rsidR="00B73491" w:rsidRDefault="00B73491" w:rsidP="00B73491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Выборгского района Ленинградской области, </w:t>
      </w:r>
      <w:r>
        <w:rPr>
          <w:rFonts w:ascii="Times New Roman" w:hAnsi="Times New Roman"/>
          <w:sz w:val="24"/>
          <w:szCs w:val="24"/>
        </w:rPr>
        <w:br/>
        <w:t xml:space="preserve">замещающих должности, не являющиеся </w:t>
      </w:r>
      <w:r>
        <w:rPr>
          <w:rFonts w:ascii="Times New Roman" w:hAnsi="Times New Roman"/>
          <w:sz w:val="24"/>
          <w:szCs w:val="24"/>
        </w:rPr>
        <w:br/>
        <w:t>должностями муниципальной службы»</w:t>
      </w:r>
    </w:p>
    <w:p w:rsidR="00B73491" w:rsidRDefault="00B73491" w:rsidP="00B73491">
      <w:pPr>
        <w:spacing w:after="0" w:line="240" w:lineRule="auto"/>
        <w:ind w:firstLine="709"/>
        <w:rPr>
          <w:rFonts w:ascii="Times New Roman" w:hAnsi="Times New Roman"/>
        </w:rPr>
      </w:pPr>
    </w:p>
    <w:p w:rsidR="00B73491" w:rsidRPr="004A1FDA" w:rsidRDefault="00B73491" w:rsidP="00B7349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1FDA">
        <w:rPr>
          <w:rFonts w:ascii="Times New Roman" w:hAnsi="Times New Roman"/>
          <w:b/>
          <w:sz w:val="28"/>
          <w:szCs w:val="28"/>
        </w:rPr>
        <w:t>Перечень должностей</w:t>
      </w:r>
      <w:r w:rsidRPr="004A1FDA">
        <w:rPr>
          <w:rFonts w:ascii="Times New Roman" w:hAnsi="Times New Roman"/>
          <w:sz w:val="28"/>
          <w:szCs w:val="28"/>
        </w:rPr>
        <w:br/>
        <w:t xml:space="preserve">работников органов местного самоуправления </w:t>
      </w:r>
      <w:r w:rsidRPr="004A1FDA">
        <w:rPr>
          <w:rFonts w:ascii="Times New Roman" w:hAnsi="Times New Roman"/>
          <w:sz w:val="28"/>
          <w:szCs w:val="28"/>
        </w:rPr>
        <w:br/>
        <w:t>муниципального образования "</w:t>
      </w:r>
      <w:proofErr w:type="spellStart"/>
      <w:r w:rsidRPr="004A1FDA">
        <w:rPr>
          <w:rFonts w:ascii="Times New Roman" w:hAnsi="Times New Roman"/>
          <w:sz w:val="28"/>
          <w:szCs w:val="28"/>
        </w:rPr>
        <w:t>Светогорское</w:t>
      </w:r>
      <w:proofErr w:type="spellEnd"/>
      <w:r w:rsidRPr="004A1FDA">
        <w:rPr>
          <w:rFonts w:ascii="Times New Roman" w:hAnsi="Times New Roman"/>
          <w:sz w:val="28"/>
          <w:szCs w:val="28"/>
        </w:rPr>
        <w:t xml:space="preserve"> городское поселение"</w:t>
      </w:r>
    </w:p>
    <w:p w:rsidR="00B73491" w:rsidRPr="004A1FDA" w:rsidRDefault="00B73491" w:rsidP="00B7349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1FDA">
        <w:rPr>
          <w:rFonts w:ascii="Times New Roman" w:hAnsi="Times New Roman"/>
          <w:sz w:val="28"/>
          <w:szCs w:val="28"/>
        </w:rPr>
        <w:t xml:space="preserve">Выборгского района Ленинградской </w:t>
      </w:r>
      <w:proofErr w:type="gramStart"/>
      <w:r w:rsidRPr="004A1FDA">
        <w:rPr>
          <w:rFonts w:ascii="Times New Roman" w:hAnsi="Times New Roman"/>
          <w:sz w:val="28"/>
          <w:szCs w:val="28"/>
        </w:rPr>
        <w:t>области,  замещающих</w:t>
      </w:r>
      <w:proofErr w:type="gramEnd"/>
      <w:r w:rsidRPr="004A1FDA">
        <w:rPr>
          <w:rFonts w:ascii="Times New Roman" w:hAnsi="Times New Roman"/>
          <w:sz w:val="28"/>
          <w:szCs w:val="28"/>
        </w:rPr>
        <w:t xml:space="preserve"> должности, не являющиеся должностями муниципальной службы</w:t>
      </w:r>
    </w:p>
    <w:p w:rsidR="00B73491" w:rsidRPr="004A1FDA" w:rsidRDefault="00B73491" w:rsidP="00B734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3491" w:rsidRPr="004A1FDA" w:rsidRDefault="00B73491" w:rsidP="00B734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3491" w:rsidRPr="004A1FDA" w:rsidRDefault="00B73491" w:rsidP="00B73491">
      <w:pPr>
        <w:spacing w:after="0"/>
        <w:rPr>
          <w:rFonts w:ascii="Times New Roman" w:hAnsi="Times New Roman"/>
          <w:sz w:val="28"/>
          <w:szCs w:val="28"/>
        </w:rPr>
      </w:pPr>
      <w:r w:rsidRPr="004A1FDA">
        <w:rPr>
          <w:rFonts w:ascii="Times New Roman" w:hAnsi="Times New Roman"/>
          <w:sz w:val="28"/>
          <w:szCs w:val="28"/>
        </w:rPr>
        <w:t>(действует с 01.</w:t>
      </w:r>
      <w:r w:rsidRPr="004A1FDA">
        <w:rPr>
          <w:rFonts w:ascii="Times New Roman" w:hAnsi="Times New Roman"/>
          <w:sz w:val="28"/>
          <w:szCs w:val="28"/>
          <w:lang w:val="en-US"/>
        </w:rPr>
        <w:t>0</w:t>
      </w:r>
      <w:r w:rsidRPr="004A1FDA">
        <w:rPr>
          <w:rFonts w:ascii="Times New Roman" w:hAnsi="Times New Roman"/>
          <w:sz w:val="28"/>
          <w:szCs w:val="28"/>
        </w:rPr>
        <w:t>9.2021)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991"/>
        <w:gridCol w:w="2376"/>
      </w:tblGrid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ind w:left="-8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  <w:p w:rsidR="00B73491" w:rsidRPr="004A1FDA" w:rsidRDefault="00B73491" w:rsidP="001F7917">
            <w:pPr>
              <w:spacing w:after="0"/>
              <w:ind w:left="-8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 xml:space="preserve"> месячного </w:t>
            </w:r>
          </w:p>
          <w:p w:rsidR="00B73491" w:rsidRPr="004A1FDA" w:rsidRDefault="00B73491" w:rsidP="001F7917">
            <w:pPr>
              <w:spacing w:after="0"/>
              <w:ind w:left="-8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:rsidR="00B73491" w:rsidRPr="004A1FDA" w:rsidRDefault="00B73491" w:rsidP="001F7917">
            <w:pPr>
              <w:spacing w:after="0"/>
              <w:ind w:left="-8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DA">
              <w:rPr>
                <w:rFonts w:ascii="Times New Roman" w:hAnsi="Times New Roman"/>
                <w:sz w:val="24"/>
                <w:szCs w:val="24"/>
              </w:rPr>
              <w:t xml:space="preserve"> оклада (рублей)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1FDA">
              <w:rPr>
                <w:rFonts w:ascii="Times New Roman" w:hAnsi="Times New Roman"/>
                <w:b/>
                <w:sz w:val="28"/>
                <w:szCs w:val="28"/>
              </w:rPr>
              <w:t>Служащие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Заведующий службой, отделом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C112CD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17420-17790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Заместитель заведующего службой, отделом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16130-17420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C112CD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14930</w:t>
            </w:r>
            <w:r w:rsidR="00916D97">
              <w:rPr>
                <w:rFonts w:ascii="Times New Roman" w:hAnsi="Times New Roman"/>
                <w:sz w:val="28"/>
                <w:szCs w:val="28"/>
              </w:rPr>
              <w:t>-16130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Заведующий группой</w:t>
            </w:r>
          </w:p>
          <w:p w:rsidR="00EA4C51" w:rsidRPr="00933EE6" w:rsidRDefault="00EA4C5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BC0266" w:rsidRPr="00933EE6">
              <w:rPr>
                <w:rFonts w:ascii="Times New Roman" w:hAnsi="Times New Roman"/>
                <w:sz w:val="28"/>
                <w:szCs w:val="28"/>
              </w:rPr>
              <w:t>специалист (</w:t>
            </w:r>
            <w:r w:rsidRPr="00933EE6">
              <w:rPr>
                <w:rFonts w:ascii="Times New Roman" w:hAnsi="Times New Roman"/>
                <w:sz w:val="28"/>
                <w:szCs w:val="28"/>
              </w:rPr>
              <w:t>референт</w:t>
            </w:r>
            <w:r w:rsidR="00BC0266" w:rsidRPr="00933EE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0266" w:rsidRPr="00933EE6" w:rsidRDefault="00BC0266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Главный экономист</w:t>
            </w:r>
          </w:p>
          <w:p w:rsidR="00B73491" w:rsidRPr="00933EE6" w:rsidRDefault="00B73491" w:rsidP="00D34273">
            <w:pPr>
              <w:spacing w:after="0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Администратор базы данных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Default="00C112CD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13650-14930</w:t>
            </w:r>
          </w:p>
          <w:p w:rsidR="00355406" w:rsidRPr="004A1FDA" w:rsidRDefault="00355406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>.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753EA" w:rsidRPr="00933EE6" w:rsidRDefault="00B73491" w:rsidP="006753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="00355406" w:rsidRPr="00933EE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753EA" w:rsidRPr="00933EE6">
              <w:rPr>
                <w:rFonts w:ascii="Times New Roman" w:hAnsi="Times New Roman"/>
                <w:sz w:val="28"/>
                <w:szCs w:val="28"/>
              </w:rPr>
              <w:t>референт</w:t>
            </w:r>
            <w:r w:rsidR="00355406" w:rsidRPr="00933EE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0266" w:rsidRPr="00933EE6" w:rsidRDefault="00BC0266" w:rsidP="006753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Ведущий экономист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Ведущий бухгалтер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  <w:p w:rsidR="00355406" w:rsidRPr="00933EE6" w:rsidRDefault="00355406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12390-13650</w:t>
            </w:r>
          </w:p>
          <w:p w:rsidR="00BC0266" w:rsidRPr="004A1FDA" w:rsidRDefault="00BC0266" w:rsidP="00BC02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Специалист (референт) первой категории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Бухгалтер первой категории</w:t>
            </w:r>
          </w:p>
          <w:p w:rsidR="00355406" w:rsidRPr="00933EE6" w:rsidRDefault="00B73491" w:rsidP="003554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Экономист</w:t>
            </w:r>
            <w:r w:rsidR="00355406" w:rsidRPr="00933EE6">
              <w:rPr>
                <w:rFonts w:ascii="Times New Roman" w:hAnsi="Times New Roman"/>
                <w:sz w:val="28"/>
                <w:szCs w:val="28"/>
              </w:rPr>
              <w:t xml:space="preserve"> первой категории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lastRenderedPageBreak/>
              <w:t>Старший инспектор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10350-12390</w:t>
            </w:r>
          </w:p>
          <w:p w:rsidR="00BC0266" w:rsidRPr="004A1FDA" w:rsidRDefault="00BC0266" w:rsidP="00BC02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Специалист (референт) второй категории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Бухгалтер второй категории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Default="00C112CD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9430</w:t>
            </w:r>
            <w:r w:rsidR="00916D97">
              <w:rPr>
                <w:rFonts w:ascii="Times New Roman" w:hAnsi="Times New Roman"/>
                <w:sz w:val="28"/>
                <w:szCs w:val="28"/>
              </w:rPr>
              <w:t>-10350</w:t>
            </w:r>
          </w:p>
          <w:p w:rsidR="00BC0266" w:rsidRPr="004A1FDA" w:rsidRDefault="00BC0266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266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F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Специалист (референт)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  <w:p w:rsidR="00B73491" w:rsidRPr="00933EE6" w:rsidRDefault="00B73491" w:rsidP="00D34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 xml:space="preserve">Машинистка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Default="00C112CD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8500-9430</w:t>
            </w:r>
          </w:p>
          <w:p w:rsidR="00BC0266" w:rsidRPr="004A1FDA" w:rsidRDefault="00BC0266" w:rsidP="00BC02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49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4650CF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3EE6">
              <w:rPr>
                <w:rFonts w:ascii="Times New Roman" w:hAnsi="Times New Roman"/>
                <w:b/>
                <w:sz w:val="28"/>
                <w:szCs w:val="28"/>
              </w:rPr>
              <w:t>Рабочие:</w:t>
            </w:r>
          </w:p>
          <w:p w:rsidR="001E3F01" w:rsidRPr="00933EE6" w:rsidRDefault="001E3F01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Плотник</w:t>
            </w:r>
          </w:p>
          <w:p w:rsidR="001E3F01" w:rsidRPr="00933EE6" w:rsidRDefault="001E3F01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Слесарь</w:t>
            </w:r>
          </w:p>
          <w:p w:rsidR="001E3F01" w:rsidRPr="00933EE6" w:rsidRDefault="001E3F01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Столяр</w:t>
            </w:r>
          </w:p>
          <w:p w:rsidR="001E3F01" w:rsidRPr="00933EE6" w:rsidRDefault="001E3F01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  <w:p w:rsidR="00B73491" w:rsidRPr="00933EE6" w:rsidRDefault="001E3F01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Сантехник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3491" w:rsidRPr="004A1FDA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6820-8500</w:t>
            </w:r>
          </w:p>
          <w:p w:rsidR="00617C9A" w:rsidRPr="004A1FDA" w:rsidRDefault="00617C9A" w:rsidP="006753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F01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F01" w:rsidRPr="004A1FDA" w:rsidRDefault="004650CF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F01" w:rsidRPr="00933EE6" w:rsidRDefault="001E3F01" w:rsidP="001E3F0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Водитель служебного автомобиля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F01" w:rsidRPr="004A1FDA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15220</w:t>
            </w:r>
          </w:p>
        </w:tc>
      </w:tr>
      <w:tr w:rsidR="00B43885" w:rsidRPr="004A1FDA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85" w:rsidRPr="004A1FDA" w:rsidRDefault="004650CF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85" w:rsidRPr="00933EE6" w:rsidRDefault="00B43885" w:rsidP="001E3F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Дежурный по зданию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85" w:rsidRPr="004A1FDA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B14">
              <w:rPr>
                <w:rFonts w:ascii="Times New Roman" w:hAnsi="Times New Roman"/>
                <w:sz w:val="28"/>
                <w:szCs w:val="28"/>
              </w:rPr>
              <w:t>9100</w:t>
            </w:r>
          </w:p>
        </w:tc>
      </w:tr>
      <w:tr w:rsidR="00B73491" w:rsidRPr="00EA593E" w:rsidTr="00D34273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4A1FDA" w:rsidRDefault="004650CF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491" w:rsidRPr="00933EE6" w:rsidRDefault="00B73491" w:rsidP="001F791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3EE6">
              <w:rPr>
                <w:rFonts w:ascii="Times New Roman" w:hAnsi="Times New Roman"/>
                <w:b/>
                <w:sz w:val="28"/>
                <w:szCs w:val="28"/>
              </w:rPr>
              <w:t>Младший обслуживающий персонал:</w:t>
            </w:r>
          </w:p>
          <w:p w:rsidR="001E3F01" w:rsidRPr="00933EE6" w:rsidRDefault="001E3F0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Д</w:t>
            </w:r>
            <w:r w:rsidR="003F530A" w:rsidRPr="00933EE6">
              <w:rPr>
                <w:rFonts w:ascii="Times New Roman" w:hAnsi="Times New Roman"/>
                <w:sz w:val="28"/>
                <w:szCs w:val="28"/>
              </w:rPr>
              <w:t>ворник</w:t>
            </w:r>
          </w:p>
          <w:p w:rsidR="001E3F01" w:rsidRPr="00933EE6" w:rsidRDefault="001E3F0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У</w:t>
            </w:r>
            <w:r w:rsidR="003F530A" w:rsidRPr="00933EE6">
              <w:rPr>
                <w:rFonts w:ascii="Times New Roman" w:hAnsi="Times New Roman"/>
                <w:sz w:val="28"/>
                <w:szCs w:val="28"/>
              </w:rPr>
              <w:t>борщик служебных помещений</w:t>
            </w:r>
          </w:p>
          <w:p w:rsidR="00B73491" w:rsidRPr="00933EE6" w:rsidRDefault="001E3F01" w:rsidP="001F79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EE6">
              <w:rPr>
                <w:rFonts w:ascii="Times New Roman" w:hAnsi="Times New Roman"/>
                <w:sz w:val="28"/>
                <w:szCs w:val="28"/>
              </w:rPr>
              <w:t>С</w:t>
            </w:r>
            <w:r w:rsidR="00B73491" w:rsidRPr="00933EE6">
              <w:rPr>
                <w:rFonts w:ascii="Times New Roman" w:hAnsi="Times New Roman"/>
                <w:sz w:val="28"/>
                <w:szCs w:val="28"/>
              </w:rPr>
              <w:t>торож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491" w:rsidRPr="004A1FDA" w:rsidRDefault="00B73491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3491" w:rsidRPr="00EA593E" w:rsidRDefault="00916D97" w:rsidP="001F79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6340</w:t>
            </w:r>
          </w:p>
        </w:tc>
      </w:tr>
    </w:tbl>
    <w:p w:rsidR="00174FBB" w:rsidRPr="005848E2" w:rsidRDefault="00174FBB" w:rsidP="005848E2">
      <w:pPr>
        <w:spacing w:before="120" w:after="0" w:line="240" w:lineRule="auto"/>
        <w:rPr>
          <w:rFonts w:ascii="Times New Roman" w:hAnsi="Times New Roman" w:cs="Times New Roman"/>
        </w:rPr>
      </w:pPr>
    </w:p>
    <w:sectPr w:rsidR="00174FBB" w:rsidRPr="005848E2" w:rsidSect="00DA79F0">
      <w:footerReference w:type="defaul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E7" w:rsidRDefault="00963FE7" w:rsidP="000A197C">
      <w:pPr>
        <w:spacing w:after="0" w:line="240" w:lineRule="auto"/>
      </w:pPr>
      <w:r>
        <w:separator/>
      </w:r>
    </w:p>
  </w:endnote>
  <w:endnote w:type="continuationSeparator" w:id="0">
    <w:p w:rsidR="00963FE7" w:rsidRDefault="00963FE7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B65">
          <w:rPr>
            <w:noProof/>
          </w:rPr>
          <w:t>4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E7" w:rsidRDefault="00963FE7" w:rsidP="000A197C">
      <w:pPr>
        <w:spacing w:after="0" w:line="240" w:lineRule="auto"/>
      </w:pPr>
      <w:r>
        <w:separator/>
      </w:r>
    </w:p>
  </w:footnote>
  <w:footnote w:type="continuationSeparator" w:id="0">
    <w:p w:rsidR="00963FE7" w:rsidRDefault="00963FE7" w:rsidP="000A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8C7"/>
    <w:multiLevelType w:val="multilevel"/>
    <w:tmpl w:val="0F766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0F07884"/>
    <w:multiLevelType w:val="hybridMultilevel"/>
    <w:tmpl w:val="C702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A197C"/>
    <w:rsid w:val="00103B14"/>
    <w:rsid w:val="00174FBB"/>
    <w:rsid w:val="001D0D3F"/>
    <w:rsid w:val="001E3F01"/>
    <w:rsid w:val="002147E7"/>
    <w:rsid w:val="00227B65"/>
    <w:rsid w:val="00355406"/>
    <w:rsid w:val="003F530A"/>
    <w:rsid w:val="004650CF"/>
    <w:rsid w:val="004A1FDA"/>
    <w:rsid w:val="004B6B92"/>
    <w:rsid w:val="005848E2"/>
    <w:rsid w:val="005D4048"/>
    <w:rsid w:val="005E5399"/>
    <w:rsid w:val="00617C9A"/>
    <w:rsid w:val="006505F5"/>
    <w:rsid w:val="006753EA"/>
    <w:rsid w:val="007C2B13"/>
    <w:rsid w:val="008A30C8"/>
    <w:rsid w:val="008A3C66"/>
    <w:rsid w:val="00916D97"/>
    <w:rsid w:val="00933EE6"/>
    <w:rsid w:val="00956D31"/>
    <w:rsid w:val="00963FE7"/>
    <w:rsid w:val="009B3867"/>
    <w:rsid w:val="00A13A49"/>
    <w:rsid w:val="00A63A3B"/>
    <w:rsid w:val="00AA0AD5"/>
    <w:rsid w:val="00AE5B31"/>
    <w:rsid w:val="00B43885"/>
    <w:rsid w:val="00B73491"/>
    <w:rsid w:val="00BC0266"/>
    <w:rsid w:val="00C01ADD"/>
    <w:rsid w:val="00C112CD"/>
    <w:rsid w:val="00C51405"/>
    <w:rsid w:val="00C86447"/>
    <w:rsid w:val="00CE7A82"/>
    <w:rsid w:val="00D34273"/>
    <w:rsid w:val="00DE153C"/>
    <w:rsid w:val="00E66F8D"/>
    <w:rsid w:val="00E90B03"/>
    <w:rsid w:val="00E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177C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21</cp:revision>
  <dcterms:created xsi:type="dcterms:W3CDTF">2021-07-12T11:19:00Z</dcterms:created>
  <dcterms:modified xsi:type="dcterms:W3CDTF">2021-08-09T07:20:00Z</dcterms:modified>
</cp:coreProperties>
</file>